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AA4985">
        <w:rPr>
          <w:rFonts w:hint="eastAsia"/>
        </w:rPr>
        <w:t>年金業務システム（フェーズ２）の設計・開発に係る第三者評価業務</w:t>
      </w:r>
      <w:r w:rsidR="008E4B68">
        <w:rPr>
          <w:rFonts w:hint="eastAsia"/>
        </w:rPr>
        <w:t xml:space="preserve">　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SqlsekVS9hmKVIPEwWcmxBxtKrj1mtjO0MVSu8BKqZHDqKP10Y+PCoiyeePFTNxK3K8l58xt6plSnoH/QyfTQ==" w:salt="QIjWw+tcTZfYeCeL6LG47A=="/>
  <w:defaultTabStop w:val="840"/>
  <w:drawingGridHorizontalSpacing w:val="120"/>
  <w:drawingGridVerticalSpacing w:val="17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56890"/>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E4B68"/>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985"/>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138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6AA1-2DF6-4B39-BBFA-1216B6B7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2022-11-10T07:13:00Z</dcterms:modified>
</cp:coreProperties>
</file>