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3B357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175C6D" w:rsidRPr="00175C6D">
        <w:rPr>
          <w:rFonts w:hint="eastAsia"/>
        </w:rPr>
        <w:t>年金業務システム（経過管理・電子決裁、個人番号管理、基盤サブシステム）</w:t>
      </w:r>
      <w:r w:rsidR="00AB0F83">
        <w:rPr>
          <w:rFonts w:hint="eastAsia"/>
        </w:rPr>
        <w:t>に係る</w:t>
      </w:r>
      <w:r w:rsidR="00175C6D" w:rsidRPr="00175C6D">
        <w:rPr>
          <w:rFonts w:hint="eastAsia"/>
        </w:rPr>
        <w:t>設計・開発等業務（令和</w:t>
      </w:r>
      <w:r w:rsidR="00175C6D">
        <w:rPr>
          <w:rFonts w:hint="eastAsia"/>
        </w:rPr>
        <w:t>３年度①）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vIoW5OH4dffUob57lAw4g22B0gnT4+g+CTtaeH3QVzl2bpFhH51bnQG7X1WUvj6zlGUHyGDLvx2RhwRqPd5fA==" w:salt="+5Hu5fS51hIZEPxI/S57LQ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5736-F8D6-4782-9415-CE14CC3D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2021-06-09T13:44:00Z</dcterms:modified>
</cp:coreProperties>
</file>